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CF80" w14:textId="18E1F194" w:rsidR="00031E05" w:rsidRPr="00950875" w:rsidRDefault="00950875" w:rsidP="00E00D6D">
      <w:pPr>
        <w:widowControl w:val="0"/>
        <w:autoSpaceDE w:val="0"/>
        <w:autoSpaceDN w:val="0"/>
        <w:adjustRightInd w:val="0"/>
        <w:jc w:val="both"/>
        <w:rPr>
          <w:rFonts w:ascii="Times New Roman" w:hAnsi="Times New Roman" w:cs="Times New Roman"/>
          <w:b/>
        </w:rPr>
      </w:pPr>
      <w:r>
        <w:rPr>
          <w:rFonts w:ascii="Times New Roman" w:hAnsi="Times New Roman" w:cs="Times New Roman"/>
          <w:b/>
        </w:rPr>
        <w:t>LOGICA DEL PASSAGGIO</w:t>
      </w:r>
    </w:p>
    <w:p w14:paraId="38DF640C" w14:textId="77777777" w:rsidR="00031E05" w:rsidRPr="00950875" w:rsidRDefault="00031E05" w:rsidP="00E00D6D">
      <w:pPr>
        <w:widowControl w:val="0"/>
        <w:autoSpaceDE w:val="0"/>
        <w:autoSpaceDN w:val="0"/>
        <w:adjustRightInd w:val="0"/>
        <w:jc w:val="both"/>
        <w:rPr>
          <w:rFonts w:ascii="Times New Roman" w:hAnsi="Times New Roman" w:cs="Times New Roman"/>
          <w:b/>
          <w:sz w:val="28"/>
          <w:szCs w:val="28"/>
        </w:rPr>
      </w:pPr>
    </w:p>
    <w:p w14:paraId="6D0DFDDE" w14:textId="77777777" w:rsidR="00031E05" w:rsidRPr="00950875" w:rsidRDefault="00031E05" w:rsidP="00E00D6D">
      <w:pPr>
        <w:widowControl w:val="0"/>
        <w:autoSpaceDE w:val="0"/>
        <w:autoSpaceDN w:val="0"/>
        <w:adjustRightInd w:val="0"/>
        <w:jc w:val="both"/>
        <w:rPr>
          <w:rFonts w:ascii="Times New Roman" w:hAnsi="Times New Roman" w:cs="Times New Roman"/>
          <w:i/>
          <w:iCs/>
          <w:sz w:val="23"/>
          <w:szCs w:val="23"/>
        </w:rPr>
      </w:pPr>
      <w:r w:rsidRPr="00950875">
        <w:rPr>
          <w:rFonts w:ascii="Times New Roman" w:hAnsi="Times New Roman" w:cs="Times New Roman"/>
          <w:i/>
          <w:iCs/>
          <w:sz w:val="23"/>
          <w:szCs w:val="23"/>
        </w:rPr>
        <w:t xml:space="preserve">Il y a des résistances concrètes qu’il faut mener. </w:t>
      </w:r>
    </w:p>
    <w:p w14:paraId="2357BA4F" w14:textId="77777777" w:rsidR="00031E05" w:rsidRPr="00012F2F" w:rsidRDefault="00031E05" w:rsidP="00E00D6D">
      <w:pPr>
        <w:widowControl w:val="0"/>
        <w:autoSpaceDE w:val="0"/>
        <w:autoSpaceDN w:val="0"/>
        <w:adjustRightInd w:val="0"/>
        <w:jc w:val="both"/>
        <w:rPr>
          <w:rFonts w:ascii="Times New Roman" w:hAnsi="Times New Roman" w:cs="Times New Roman"/>
          <w:i/>
          <w:iCs/>
          <w:sz w:val="23"/>
          <w:szCs w:val="23"/>
          <w:lang w:val="en-US"/>
        </w:rPr>
      </w:pPr>
      <w:r w:rsidRPr="00012F2F">
        <w:rPr>
          <w:rFonts w:ascii="Times New Roman" w:hAnsi="Times New Roman" w:cs="Times New Roman"/>
          <w:i/>
          <w:iCs/>
          <w:sz w:val="23"/>
          <w:szCs w:val="23"/>
          <w:lang w:val="en-US"/>
        </w:rPr>
        <w:t>Dans le lieu où on est.</w:t>
      </w:r>
    </w:p>
    <w:p w14:paraId="5A8C917A" w14:textId="14971F35" w:rsidR="00031E05" w:rsidRPr="00A028B6" w:rsidRDefault="00031E05" w:rsidP="00E00D6D">
      <w:pPr>
        <w:widowControl w:val="0"/>
        <w:autoSpaceDE w:val="0"/>
        <w:autoSpaceDN w:val="0"/>
        <w:adjustRightInd w:val="0"/>
        <w:jc w:val="both"/>
        <w:rPr>
          <w:rFonts w:ascii="Times New Roman" w:hAnsi="Times New Roman" w:cs="Times New Roman"/>
          <w:i/>
          <w:iCs/>
          <w:sz w:val="23"/>
          <w:szCs w:val="23"/>
          <w:lang w:val="en-US"/>
        </w:rPr>
      </w:pPr>
      <w:r w:rsidRPr="00012F2F">
        <w:rPr>
          <w:rFonts w:ascii="Times New Roman" w:hAnsi="Times New Roman" w:cs="Times New Roman"/>
          <w:i/>
          <w:iCs/>
          <w:sz w:val="23"/>
          <w:szCs w:val="23"/>
          <w:lang w:val="en-US"/>
        </w:rPr>
        <w:t xml:space="preserve">—Edouard Glissant, </w:t>
      </w:r>
      <w:r w:rsidRPr="00012F2F">
        <w:rPr>
          <w:rFonts w:ascii="Times New Roman" w:hAnsi="Times New Roman" w:cs="Times New Roman"/>
          <w:sz w:val="23"/>
          <w:szCs w:val="23"/>
          <w:lang w:val="en-US"/>
        </w:rPr>
        <w:t>Introduction à une poétique du divers</w:t>
      </w:r>
      <w:r w:rsidRPr="00012F2F">
        <w:rPr>
          <w:rFonts w:ascii="Times New Roman" w:hAnsi="Times New Roman" w:cs="Times New Roman"/>
          <w:i/>
          <w:iCs/>
          <w:sz w:val="23"/>
          <w:szCs w:val="23"/>
          <w:lang w:val="en-US"/>
        </w:rPr>
        <w:t>, 1996</w:t>
      </w:r>
    </w:p>
    <w:p w14:paraId="125901B1" w14:textId="77777777" w:rsidR="00031E05" w:rsidRPr="00A028B6" w:rsidRDefault="00031E05" w:rsidP="00E00D6D">
      <w:pPr>
        <w:widowControl w:val="0"/>
        <w:autoSpaceDE w:val="0"/>
        <w:autoSpaceDN w:val="0"/>
        <w:adjustRightInd w:val="0"/>
        <w:jc w:val="both"/>
        <w:rPr>
          <w:rFonts w:ascii="Times New Roman" w:hAnsi="Times New Roman" w:cs="Times New Roman"/>
          <w:i/>
          <w:iCs/>
          <w:sz w:val="23"/>
          <w:szCs w:val="23"/>
          <w:lang w:val="en-US"/>
        </w:rPr>
      </w:pPr>
    </w:p>
    <w:p w14:paraId="5DB5CFE8" w14:textId="77777777" w:rsidR="00031E05" w:rsidRPr="00950875" w:rsidRDefault="00031E05" w:rsidP="00E00D6D">
      <w:pPr>
        <w:widowControl w:val="0"/>
        <w:autoSpaceDE w:val="0"/>
        <w:autoSpaceDN w:val="0"/>
        <w:adjustRightInd w:val="0"/>
        <w:jc w:val="both"/>
        <w:rPr>
          <w:rFonts w:ascii="Times New Roman" w:hAnsi="Times New Roman" w:cs="Times New Roman"/>
          <w:b/>
          <w:sz w:val="23"/>
          <w:szCs w:val="23"/>
        </w:rPr>
      </w:pPr>
      <w:r w:rsidRPr="00950875">
        <w:rPr>
          <w:rFonts w:ascii="Times New Roman" w:hAnsi="Times New Roman" w:cs="Times New Roman"/>
          <w:b/>
          <w:sz w:val="23"/>
          <w:szCs w:val="23"/>
        </w:rPr>
        <w:t>Paura del contagio</w:t>
      </w:r>
    </w:p>
    <w:p w14:paraId="1065C896" w14:textId="6253A288"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In molte foto legate al</w:t>
      </w:r>
      <w:r w:rsidR="00A028B6">
        <w:rPr>
          <w:rFonts w:ascii="Times New Roman" w:hAnsi="Times New Roman" w:cs="Times New Roman"/>
          <w:sz w:val="23"/>
          <w:szCs w:val="23"/>
        </w:rPr>
        <w:t>l’immigrazione clandestina con</w:t>
      </w:r>
      <w:r w:rsidRPr="00950875">
        <w:rPr>
          <w:rFonts w:ascii="Times New Roman" w:hAnsi="Times New Roman" w:cs="Times New Roman"/>
          <w:sz w:val="23"/>
          <w:szCs w:val="23"/>
        </w:rPr>
        <w:t>temporanea in Europa, i rifugiati o i migranti senza documenti “sono spesso accolti da gente che indossa una maschera”, elemento che suscita “non solo pietà ma anche paura, perché la maschera allude alla possibilità del contagio”, riproducendo così il nesso ampiamente acquisito fra stranieri e malattie. La maschera e i guanti di lattice stimolano e svelano la paura dell’invasione, non solo dei confini territoriali, ma anche di quelli del corpo, minacciando “l’integrità del corpo individuale e di quello dell’Europa”.</w:t>
      </w:r>
    </w:p>
    <w:p w14:paraId="0058716F" w14:textId="7F1DFF50"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Da tempo la medicina riveste una particolare importanza per la creazione e la legittimazione dei confini nazionali e dei tentativi di controllare gli spostamenti delle persone. Nell’Europa postbellica, gli esami clinici hanno rappresentato una procedura cruciale per la gestione dell’immigrazione.</w:t>
      </w:r>
    </w:p>
    <w:p w14:paraId="5C0457DC" w14:textId="78F944F1"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Esaminando queste paure da una prospettiva diversa, il progetto sposa una prospettiva più storica nella sua analisi dei legami fra migrazione e controllo medico e biopolitico. Partendo da ricerche d’archivio, indagini sul campo e trascrizioni di interviste a immigrati del passato, rimanda a episodi poco noti legati all’emigrazione italiana nell’Europa del Nord degli anni Cinquanta, Sessanta e Settanta: la vita quotidiana, le durissime condizioni di lavoro e le lotte contro una mobilità limitata. Ognuno ricorda a modo suo il momento dell’esame clinico a cui dovevano sottoporsi in Svizzera i lavoratori stagionali per poter ottenere un permesso di lavoro.</w:t>
      </w:r>
    </w:p>
    <w:p w14:paraId="2DAB7707" w14:textId="372E8C8A"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Il progetto esamina alcuni paesini quasi deserti della Campania, citati nelle interviste degli immigrati italiani, ricollegando questa emigraz</w:t>
      </w:r>
      <w:r w:rsidR="00A028B6">
        <w:rPr>
          <w:rFonts w:ascii="Times New Roman" w:hAnsi="Times New Roman" w:cs="Times New Roman"/>
          <w:sz w:val="23"/>
          <w:szCs w:val="23"/>
        </w:rPr>
        <w:t>ione storica all’attuale situa</w:t>
      </w:r>
      <w:r w:rsidRPr="00950875">
        <w:rPr>
          <w:rFonts w:ascii="Times New Roman" w:hAnsi="Times New Roman" w:cs="Times New Roman"/>
          <w:sz w:val="23"/>
          <w:szCs w:val="23"/>
        </w:rPr>
        <w:t>zione migratoria nell’Italia del Sud. Qui diversi abitanti partono per il Nord o per l’estero, in numeri paragonabili a quelli degli anni Sessanta come hanno dimostrato molti studiosi fra cui lo storico Toni Ricciardi. Al tempo stesso, un numero esiguo d’immigrati che provengono da Europa dell’Est, Africa e Africa del Nord occupano questi posti abbandonati, dove vengono sfruttati come manodopera a basso costo.</w:t>
      </w:r>
    </w:p>
    <w:p w14:paraId="3CD8A98E" w14:textId="77777777" w:rsidR="00031E05" w:rsidRPr="00950875" w:rsidRDefault="00031E05" w:rsidP="00E00D6D">
      <w:pPr>
        <w:widowControl w:val="0"/>
        <w:autoSpaceDE w:val="0"/>
        <w:autoSpaceDN w:val="0"/>
        <w:adjustRightInd w:val="0"/>
        <w:jc w:val="both"/>
        <w:rPr>
          <w:rFonts w:ascii="Times New Roman" w:hAnsi="Times New Roman" w:cs="Times New Roman"/>
          <w:sz w:val="23"/>
          <w:szCs w:val="23"/>
        </w:rPr>
      </w:pPr>
    </w:p>
    <w:p w14:paraId="169266D5" w14:textId="77777777" w:rsidR="00031E05" w:rsidRPr="00950875" w:rsidRDefault="00031E05" w:rsidP="00E00D6D">
      <w:pPr>
        <w:widowControl w:val="0"/>
        <w:autoSpaceDE w:val="0"/>
        <w:autoSpaceDN w:val="0"/>
        <w:adjustRightInd w:val="0"/>
        <w:jc w:val="both"/>
        <w:rPr>
          <w:rFonts w:ascii="Times New Roman" w:hAnsi="Times New Roman" w:cs="Times New Roman"/>
          <w:b/>
          <w:sz w:val="23"/>
          <w:szCs w:val="23"/>
        </w:rPr>
      </w:pPr>
      <w:r w:rsidRPr="00950875">
        <w:rPr>
          <w:rFonts w:ascii="Times New Roman" w:hAnsi="Times New Roman" w:cs="Times New Roman"/>
          <w:b/>
          <w:sz w:val="23"/>
          <w:szCs w:val="23"/>
        </w:rPr>
        <w:t>Ricordi discrepanti</w:t>
      </w:r>
    </w:p>
    <w:p w14:paraId="097FAA63" w14:textId="44FEE5DB"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Il progetto intende mostrare la discrepanza fra la rappresentazione ufficiale e istituzionale della migrazione e le esperienze individuali dei migranti. Tramite l’esame delle tracce materiali storiche legate alla migrazione (oggetti “etnografici” esposti nei musei e fotografie) e dell’esibizione contemporanea di tali oggetti, come pure dei ricordi individuali, ci si chiede come siano conservati, trasformati, limitati e cancellati i ricordi storici e sociali. Quali passati vengono dimenticati? Quali futuri promessi?</w:t>
      </w:r>
    </w:p>
    <w:p w14:paraId="01C4D5BC" w14:textId="77777777" w:rsidR="00031E05" w:rsidRPr="00950875" w:rsidRDefault="00031E05" w:rsidP="00E00D6D">
      <w:pPr>
        <w:widowControl w:val="0"/>
        <w:autoSpaceDE w:val="0"/>
        <w:autoSpaceDN w:val="0"/>
        <w:adjustRightInd w:val="0"/>
        <w:jc w:val="both"/>
        <w:rPr>
          <w:rFonts w:ascii="Times New Roman" w:hAnsi="Times New Roman" w:cs="Times New Roman"/>
          <w:sz w:val="23"/>
          <w:szCs w:val="23"/>
        </w:rPr>
      </w:pPr>
    </w:p>
    <w:p w14:paraId="01B84381" w14:textId="77777777" w:rsidR="00031E05" w:rsidRPr="00950875" w:rsidRDefault="00031E05" w:rsidP="00E00D6D">
      <w:pPr>
        <w:widowControl w:val="0"/>
        <w:autoSpaceDE w:val="0"/>
        <w:autoSpaceDN w:val="0"/>
        <w:adjustRightInd w:val="0"/>
        <w:jc w:val="both"/>
        <w:rPr>
          <w:rFonts w:ascii="Times New Roman" w:hAnsi="Times New Roman" w:cs="Times New Roman"/>
          <w:b/>
          <w:sz w:val="23"/>
          <w:szCs w:val="23"/>
        </w:rPr>
      </w:pPr>
      <w:r w:rsidRPr="00950875">
        <w:rPr>
          <w:rFonts w:ascii="Times New Roman" w:hAnsi="Times New Roman" w:cs="Times New Roman"/>
          <w:b/>
          <w:sz w:val="23"/>
          <w:szCs w:val="23"/>
        </w:rPr>
        <w:t>Mettere in scena la storia</w:t>
      </w:r>
    </w:p>
    <w:p w14:paraId="14615D31" w14:textId="13CB4A7C"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Il progetto artistico produce rappresentazioni antitetiche e percezioni alternative del fenomeno e dell’esperienza migratori. Punta a contribuire al dibattito in corso e alla comprensione delle complessità e delle ramificazioni della migrazione. Invece di adottare un approccio “diretto” e “documentario”, opta per una rielaborazione estetica del suo materiale e si serve di strategie di distanziamento e defamiliarizzazione per consentire un impatto più riflessivo.</w:t>
      </w:r>
    </w:p>
    <w:p w14:paraId="7640DE50" w14:textId="148EA1ED"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 xml:space="preserve">Attraverso anacronismi, espedienti, associazioni impreviste e montaggio, che riuniscono fonti diverse </w:t>
      </w:r>
      <w:r w:rsidRPr="00950875">
        <w:rPr>
          <w:rFonts w:ascii="Times New Roman" w:hAnsi="Times New Roman" w:cs="Times New Roman"/>
          <w:sz w:val="23"/>
          <w:szCs w:val="23"/>
        </w:rPr>
        <w:lastRenderedPageBreak/>
        <w:t>per cucire insieme materiali eterogenei, riciclati e rielaborati (proprio come il costume di Arlecchino), il progetto rimanda alla Commedia dell’Arte e ad alcuni dei suoi protagonisti storici (Arlecchino, Pulcinella, il Dottore, Colombina e così via). Nata in Italia nel XVI secolo, la Commedia satireggiava e sovvertiva le</w:t>
      </w:r>
      <w:r w:rsidR="00A028B6">
        <w:rPr>
          <w:rFonts w:ascii="Times New Roman" w:hAnsi="Times New Roman" w:cs="Times New Roman"/>
          <w:sz w:val="23"/>
          <w:szCs w:val="23"/>
        </w:rPr>
        <w:t xml:space="preserve"> relazioni anta</w:t>
      </w:r>
      <w:r w:rsidRPr="00950875">
        <w:rPr>
          <w:rFonts w:ascii="Times New Roman" w:hAnsi="Times New Roman" w:cs="Times New Roman"/>
          <w:sz w:val="23"/>
          <w:szCs w:val="23"/>
        </w:rPr>
        <w:t>gonistiche tra subalterni e i loro padroni e mecenati. Diffusasi in tutta Europa, ha influenzato altre tradizioni teatrali che ne hanno incorporato e manipolato repertorio e modelli.</w:t>
      </w:r>
    </w:p>
    <w:p w14:paraId="522A2B0C" w14:textId="355969AD"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 xml:space="preserve">La storia dell’arte è costellata di raffigurazioni della Commedia e dei suoi personaggi. In </w:t>
      </w:r>
      <w:r w:rsidRPr="00950875">
        <w:rPr>
          <w:rFonts w:ascii="Times New Roman" w:hAnsi="Times New Roman" w:cs="Times New Roman"/>
          <w:i/>
          <w:iCs/>
          <w:sz w:val="23"/>
          <w:szCs w:val="23"/>
        </w:rPr>
        <w:t>Divertimento per li ragazzi</w:t>
      </w:r>
      <w:r w:rsidRPr="00950875">
        <w:rPr>
          <w:rFonts w:ascii="Times New Roman" w:hAnsi="Times New Roman" w:cs="Times New Roman"/>
          <w:sz w:val="23"/>
          <w:szCs w:val="23"/>
        </w:rPr>
        <w:t>, una serie d’illustrazioni sulla vita di Pulcinella, Tiepolo usa le maschere per evocare in maniera critica eventi drammatici della storia contemporanea, ovvero la conquista di Venezia da part</w:t>
      </w:r>
      <w:r w:rsidR="00A028B6">
        <w:rPr>
          <w:rFonts w:ascii="Times New Roman" w:hAnsi="Times New Roman" w:cs="Times New Roman"/>
          <w:sz w:val="23"/>
          <w:szCs w:val="23"/>
        </w:rPr>
        <w:t>e dell’esercito napoleonico.</w:t>
      </w:r>
      <w:r w:rsidRPr="00950875">
        <w:rPr>
          <w:rFonts w:ascii="Times New Roman" w:hAnsi="Times New Roman" w:cs="Times New Roman"/>
          <w:sz w:val="23"/>
          <w:szCs w:val="23"/>
        </w:rPr>
        <w:t xml:space="preserve"> In una famosa illustrazione, Pulcinella viene chiamato a rappresentare episodi traumatici legati alla storia recente: è al tempo stesso il prigioniero condannato a morte e i soldati che lo giustiziano. Se la Commedia è diventata perlopiù folklore locale, curiosità etnografica, kitsch o </w:t>
      </w:r>
      <w:r w:rsidRPr="00950875">
        <w:rPr>
          <w:rFonts w:ascii="Times New Roman" w:hAnsi="Times New Roman" w:cs="Times New Roman"/>
          <w:i/>
          <w:iCs/>
          <w:sz w:val="23"/>
          <w:szCs w:val="23"/>
        </w:rPr>
        <w:t xml:space="preserve">marketing mannerism </w:t>
      </w:r>
      <w:r w:rsidRPr="00950875">
        <w:rPr>
          <w:rFonts w:ascii="Times New Roman" w:hAnsi="Times New Roman" w:cs="Times New Roman"/>
          <w:sz w:val="23"/>
          <w:szCs w:val="23"/>
        </w:rPr>
        <w:t xml:space="preserve">e la sua tradizione orale è scomparsa, di tanto in tanto il repertorio moderno riflette questa tradizione morente e collega Pulcinella al tema dell’emigrazione. Nella commedia </w:t>
      </w:r>
      <w:r w:rsidRPr="00950875">
        <w:rPr>
          <w:rFonts w:ascii="Times New Roman" w:hAnsi="Times New Roman" w:cs="Times New Roman"/>
          <w:i/>
          <w:iCs/>
          <w:sz w:val="23"/>
          <w:szCs w:val="23"/>
        </w:rPr>
        <w:t xml:space="preserve">Il figlio di Pulcinella </w:t>
      </w:r>
      <w:r w:rsidRPr="00950875">
        <w:rPr>
          <w:rFonts w:ascii="Times New Roman" w:hAnsi="Times New Roman" w:cs="Times New Roman"/>
          <w:sz w:val="23"/>
          <w:szCs w:val="23"/>
        </w:rPr>
        <w:t>(1957) Eduardo De Filippo ne racconta la fine della vita. Pulcinella è vecchio e stanco. Il figlio segreto torna dagli Stati Uniti, dov’era emigrato, e si toglie la maschera in un gesto di emancipazione.</w:t>
      </w:r>
    </w:p>
    <w:p w14:paraId="36C257C8" w14:textId="75A198E2" w:rsidR="00031E05" w:rsidRPr="00950875" w:rsidRDefault="00031E05" w:rsidP="00E00D6D">
      <w:pPr>
        <w:widowControl w:val="0"/>
        <w:autoSpaceDE w:val="0"/>
        <w:autoSpaceDN w:val="0"/>
        <w:adjustRightInd w:val="0"/>
        <w:jc w:val="both"/>
        <w:rPr>
          <w:rFonts w:ascii="Times New Roman" w:hAnsi="Times New Roman" w:cs="Times New Roman"/>
          <w:sz w:val="23"/>
          <w:szCs w:val="23"/>
        </w:rPr>
      </w:pPr>
      <w:r w:rsidRPr="00950875">
        <w:rPr>
          <w:rFonts w:ascii="Times New Roman" w:hAnsi="Times New Roman" w:cs="Times New Roman"/>
          <w:sz w:val="23"/>
          <w:szCs w:val="23"/>
        </w:rPr>
        <w:t>Il progetto intende riela</w:t>
      </w:r>
      <w:r w:rsidR="00A028B6">
        <w:rPr>
          <w:rFonts w:ascii="Times New Roman" w:hAnsi="Times New Roman" w:cs="Times New Roman"/>
          <w:sz w:val="23"/>
          <w:szCs w:val="23"/>
        </w:rPr>
        <w:t>borare il repertorio e l’icono</w:t>
      </w:r>
      <w:bookmarkStart w:id="0" w:name="_GoBack"/>
      <w:bookmarkEnd w:id="0"/>
      <w:r w:rsidRPr="00950875">
        <w:rPr>
          <w:rFonts w:ascii="Times New Roman" w:hAnsi="Times New Roman" w:cs="Times New Roman"/>
          <w:sz w:val="23"/>
          <w:szCs w:val="23"/>
        </w:rPr>
        <w:t>grafia della Commedia, i costumi e le maschere che in passato hanno contribuito alla diffusione della cultura. Tramite questi elementi culturali reinterpreta gli eventi e i racconti legati all’emigrazione, li ibrida e li trasforma reinventandone la forza sovversiva e contaminante.</w:t>
      </w:r>
    </w:p>
    <w:p w14:paraId="05429923" w14:textId="77777777" w:rsidR="00031E05" w:rsidRPr="00950875" w:rsidRDefault="00031E05" w:rsidP="00E00D6D">
      <w:pPr>
        <w:widowControl w:val="0"/>
        <w:autoSpaceDE w:val="0"/>
        <w:autoSpaceDN w:val="0"/>
        <w:adjustRightInd w:val="0"/>
        <w:jc w:val="both"/>
        <w:rPr>
          <w:rFonts w:ascii="Times New Roman" w:hAnsi="Times New Roman" w:cs="Times New Roman"/>
          <w:sz w:val="23"/>
          <w:szCs w:val="23"/>
        </w:rPr>
      </w:pPr>
    </w:p>
    <w:p w14:paraId="58AE6720" w14:textId="74FF67EB" w:rsidR="00031E05" w:rsidRPr="00012F2F" w:rsidRDefault="00031E05" w:rsidP="00E00D6D">
      <w:pPr>
        <w:widowControl w:val="0"/>
        <w:autoSpaceDE w:val="0"/>
        <w:autoSpaceDN w:val="0"/>
        <w:adjustRightInd w:val="0"/>
        <w:jc w:val="both"/>
        <w:rPr>
          <w:rFonts w:ascii="Times New Roman" w:hAnsi="Times New Roman" w:cs="Times New Roman"/>
          <w:b/>
          <w:sz w:val="23"/>
          <w:szCs w:val="23"/>
          <w:lang w:val="en-US"/>
        </w:rPr>
      </w:pPr>
      <w:r w:rsidRPr="00012F2F">
        <w:rPr>
          <w:rFonts w:ascii="Times New Roman" w:hAnsi="Times New Roman" w:cs="Times New Roman"/>
          <w:b/>
          <w:sz w:val="23"/>
          <w:szCs w:val="23"/>
          <w:lang w:val="en-US"/>
        </w:rPr>
        <w:t>Maria Iorio &amp; Raphaël Cuomo</w:t>
      </w:r>
    </w:p>
    <w:p w14:paraId="084810F9" w14:textId="280DA433" w:rsidR="00031E05" w:rsidRPr="00012F2F" w:rsidRDefault="00031E05" w:rsidP="00E00D6D">
      <w:pPr>
        <w:widowControl w:val="0"/>
        <w:autoSpaceDE w:val="0"/>
        <w:autoSpaceDN w:val="0"/>
        <w:adjustRightInd w:val="0"/>
        <w:jc w:val="both"/>
        <w:rPr>
          <w:rFonts w:ascii="Times New Roman" w:hAnsi="Times New Roman" w:cs="Times New Roman"/>
          <w:sz w:val="23"/>
          <w:szCs w:val="23"/>
          <w:lang w:val="en-US"/>
        </w:rPr>
      </w:pPr>
    </w:p>
    <w:p w14:paraId="2602232F" w14:textId="77777777" w:rsidR="00031E05" w:rsidRPr="00012F2F" w:rsidRDefault="00031E05" w:rsidP="00E00D6D">
      <w:pPr>
        <w:widowControl w:val="0"/>
        <w:autoSpaceDE w:val="0"/>
        <w:autoSpaceDN w:val="0"/>
        <w:adjustRightInd w:val="0"/>
        <w:jc w:val="both"/>
        <w:rPr>
          <w:rFonts w:ascii="Times New Roman" w:hAnsi="Times New Roman" w:cs="Times New Roman"/>
          <w:sz w:val="23"/>
          <w:szCs w:val="23"/>
          <w:lang w:val="en-US"/>
        </w:rPr>
      </w:pPr>
    </w:p>
    <w:p w14:paraId="3D80756F" w14:textId="0D347AF1" w:rsidR="0042622D" w:rsidRPr="00012F2F" w:rsidRDefault="0042622D" w:rsidP="00E00D6D">
      <w:pPr>
        <w:jc w:val="both"/>
        <w:rPr>
          <w:rFonts w:ascii="Times New Roman" w:hAnsi="Times New Roman" w:cs="Times New Roman"/>
          <w:sz w:val="23"/>
          <w:szCs w:val="23"/>
        </w:rPr>
      </w:pPr>
    </w:p>
    <w:sectPr w:rsidR="0042622D" w:rsidRPr="00012F2F" w:rsidSect="00BF287B">
      <w:headerReference w:type="default" r:id="rId7"/>
      <w:footerReference w:type="default" r:id="rId8"/>
      <w:pgSz w:w="11900" w:h="16840" w:code="9"/>
      <w:pgMar w:top="1701" w:right="1134" w:bottom="1134" w:left="1134" w:header="2268" w:footer="19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5C298" w14:textId="77777777" w:rsidR="0054571E" w:rsidRDefault="0054571E" w:rsidP="00A55E6D">
      <w:r>
        <w:separator/>
      </w:r>
    </w:p>
  </w:endnote>
  <w:endnote w:type="continuationSeparator" w:id="0">
    <w:p w14:paraId="07475B6A" w14:textId="77777777" w:rsidR="0054571E" w:rsidRDefault="0054571E"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F242E" w14:textId="295917F8" w:rsidR="007A160A" w:rsidRDefault="00086D69" w:rsidP="00220615">
    <w:pPr>
      <w:pStyle w:val="Pidipagina"/>
      <w:tabs>
        <w:tab w:val="clear" w:pos="9638"/>
        <w:tab w:val="right" w:pos="10773"/>
      </w:tabs>
      <w:ind w:left="-1134"/>
    </w:pPr>
    <w:r>
      <w:rPr>
        <w:noProof/>
      </w:rPr>
      <w:drawing>
        <wp:anchor distT="0" distB="0" distL="114300" distR="114300" simplePos="0" relativeHeight="251662336" behindDoc="1" locked="0" layoutInCell="1" allowOverlap="1" wp14:anchorId="4F4DB411" wp14:editId="6BD8E489">
          <wp:simplePos x="0" y="0"/>
          <wp:positionH relativeFrom="page">
            <wp:align>center</wp:align>
          </wp:positionH>
          <wp:positionV relativeFrom="page">
            <wp:align>bottom</wp:align>
          </wp:positionV>
          <wp:extent cx="7563600" cy="1267200"/>
          <wp:effectExtent l="0" t="0" r="0" b="0"/>
          <wp:wrapTight wrapText="bothSides">
            <wp:wrapPolygon edited="0">
              <wp:start x="925" y="1624"/>
              <wp:lineTo x="925" y="2923"/>
              <wp:lineTo x="1469" y="7471"/>
              <wp:lineTo x="1578" y="12668"/>
              <wp:lineTo x="870" y="13317"/>
              <wp:lineTo x="925" y="15916"/>
              <wp:lineTo x="5386" y="17540"/>
              <wp:lineTo x="7562" y="17540"/>
              <wp:lineTo x="8106" y="16890"/>
              <wp:lineTo x="20619" y="12992"/>
              <wp:lineTo x="20728" y="8120"/>
              <wp:lineTo x="7562" y="7471"/>
              <wp:lineTo x="20565" y="3573"/>
              <wp:lineTo x="20782" y="2598"/>
              <wp:lineTo x="19368" y="1624"/>
              <wp:lineTo x="925" y="1624"/>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ER-ITA-FURLA-VENEZIA-2015_CI_ITA.png"/>
                  <pic:cNvPicPr/>
                </pic:nvPicPr>
                <pic:blipFill>
                  <a:blip r:embed="rId1">
                    <a:extLst>
                      <a:ext uri="{28A0092B-C50C-407E-A947-70E740481C1C}">
                        <a14:useLocalDpi xmlns:a14="http://schemas.microsoft.com/office/drawing/2010/main" val="0"/>
                      </a:ext>
                    </a:extLst>
                  </a:blip>
                  <a:stretch>
                    <a:fillRect/>
                  </a:stretch>
                </pic:blipFill>
                <pic:spPr>
                  <a:xfrm>
                    <a:off x="0" y="0"/>
                    <a:ext cx="7563600" cy="1267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478B5" w14:textId="77777777" w:rsidR="0054571E" w:rsidRDefault="0054571E" w:rsidP="00A55E6D">
      <w:r>
        <w:separator/>
      </w:r>
    </w:p>
  </w:footnote>
  <w:footnote w:type="continuationSeparator" w:id="0">
    <w:p w14:paraId="5BB1121A" w14:textId="77777777" w:rsidR="0054571E" w:rsidRDefault="0054571E" w:rsidP="00A55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51F3" w14:textId="1D4B749A" w:rsidR="007A160A" w:rsidRPr="00A55E6D" w:rsidRDefault="00AE4543" w:rsidP="00AE4543">
    <w:pPr>
      <w:pStyle w:val="Intestazione"/>
      <w:tabs>
        <w:tab w:val="clear" w:pos="9638"/>
        <w:tab w:val="right" w:pos="10773"/>
      </w:tabs>
      <w:ind w:left="-1134"/>
      <w:jc w:val="center"/>
    </w:pPr>
    <w:r>
      <w:rPr>
        <w:noProof/>
      </w:rPr>
      <w:drawing>
        <wp:anchor distT="0" distB="0" distL="114300" distR="114300" simplePos="0" relativeHeight="251658240" behindDoc="1" locked="0" layoutInCell="1" allowOverlap="1" wp14:anchorId="6E9F6195" wp14:editId="03496AD1">
          <wp:simplePos x="0" y="0"/>
          <wp:positionH relativeFrom="page">
            <wp:align>center</wp:align>
          </wp:positionH>
          <wp:positionV relativeFrom="topMargin">
            <wp:align>center</wp:align>
          </wp:positionV>
          <wp:extent cx="1620000" cy="1260000"/>
          <wp:effectExtent l="0" t="0" r="0" b="0"/>
          <wp:wrapTight wrapText="bothSides">
            <wp:wrapPolygon edited="0">
              <wp:start x="0" y="0"/>
              <wp:lineTo x="0" y="21230"/>
              <wp:lineTo x="21338" y="21230"/>
              <wp:lineTo x="21338"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EMIO-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162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12F2F"/>
    <w:rsid w:val="00031E05"/>
    <w:rsid w:val="00086D69"/>
    <w:rsid w:val="000B69C0"/>
    <w:rsid w:val="000F0945"/>
    <w:rsid w:val="001225AC"/>
    <w:rsid w:val="00140194"/>
    <w:rsid w:val="0020304F"/>
    <w:rsid w:val="00220615"/>
    <w:rsid w:val="00343B9D"/>
    <w:rsid w:val="0042622D"/>
    <w:rsid w:val="00436B8D"/>
    <w:rsid w:val="00476816"/>
    <w:rsid w:val="004A3AB4"/>
    <w:rsid w:val="0054571E"/>
    <w:rsid w:val="005963E0"/>
    <w:rsid w:val="005B71BC"/>
    <w:rsid w:val="006943A9"/>
    <w:rsid w:val="006F662B"/>
    <w:rsid w:val="00763D6D"/>
    <w:rsid w:val="00796B8B"/>
    <w:rsid w:val="007A160A"/>
    <w:rsid w:val="0083382D"/>
    <w:rsid w:val="008A6F7B"/>
    <w:rsid w:val="00950875"/>
    <w:rsid w:val="00A028B6"/>
    <w:rsid w:val="00A55E6D"/>
    <w:rsid w:val="00AB7227"/>
    <w:rsid w:val="00AE4543"/>
    <w:rsid w:val="00BB498D"/>
    <w:rsid w:val="00BE2121"/>
    <w:rsid w:val="00BF287B"/>
    <w:rsid w:val="00D0194B"/>
    <w:rsid w:val="00DC6731"/>
    <w:rsid w:val="00E00D6D"/>
    <w:rsid w:val="00E1785F"/>
    <w:rsid w:val="00E661F9"/>
    <w:rsid w:val="00E70270"/>
    <w:rsid w:val="00FF213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8784C0"/>
  <w14:defaultImageDpi w14:val="300"/>
  <w15:docId w15:val="{CD864668-B2B3-4C16-A9FB-EA1076AB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4B47D-7902-4EA3-BB72-EDAE9B666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803</Words>
  <Characters>4579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Zoja Ivanisevic</cp:lastModifiedBy>
  <cp:revision>16</cp:revision>
  <cp:lastPrinted>2015-04-15T10:34:00Z</cp:lastPrinted>
  <dcterms:created xsi:type="dcterms:W3CDTF">2015-02-20T17:43:00Z</dcterms:created>
  <dcterms:modified xsi:type="dcterms:W3CDTF">2015-04-20T14:53:00Z</dcterms:modified>
</cp:coreProperties>
</file>